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0"/>
        <w:jc w:val="both"/>
        <w:rPr>
          <w:rStyle w:val="FootnoteCharacters"/>
          <w:rFonts w:ascii="Times New Roman" w:hAnsi="Times New Roman" w:eastAsia="Times New Roman" w:cs="Times New Roman"/>
          <w:color w:val="000000"/>
          <w:spacing w:val="0"/>
          <w:position w:val="0"/>
          <w:sz w:val="22"/>
          <w:sz w:val="28"/>
          <w:szCs w:val="28"/>
          <w:u w:val="none"/>
          <w:vertAlign w:val="baseline"/>
          <w:lang w:val="ru-RU" w:bidi="ar-SA"/>
        </w:rPr>
      </w:pPr>
      <w:r>
        <w:rPr>
          <w:rFonts w:ascii="Times New Roman" w:hAnsi="Times New Roman"/>
          <w:sz w:val="28"/>
        </w:rPr>
        <w:tab/>
        <w:t>В соответствии с пунктом 23 части 1 статьи 9 Федерального закона                  от 03 июля 2016 года № 226-ФЗ «О войсках национальной гвардии Российской Федерации</w:t>
      </w:r>
      <w:r>
        <w:rPr>
          <w:rFonts w:ascii="Times New Roman" w:hAnsi="Times New Roman"/>
          <w:spacing w:val="-4"/>
          <w:sz w:val="28"/>
        </w:rPr>
        <w:t xml:space="preserve">, </w:t>
      </w:r>
      <w:r>
        <w:rPr>
          <w:rFonts w:ascii="Times New Roman" w:hAnsi="Times New Roman"/>
          <w:sz w:val="28"/>
        </w:rPr>
        <w:t>Планом проведения плановых проверок подразделений охраны юридических лиц с особыми уставными задачами</w:t>
        <w:br/>
        <w:t xml:space="preserve">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 xml:space="preserve">подразделений ведомственной охраны </w:t>
      </w:r>
      <w:r>
        <w:rPr>
          <w:rFonts w:ascii="Times New Roman" w:hAnsi="Times New Roman"/>
          <w:sz w:val="28"/>
        </w:rPr>
        <w:t>2025 год, утвержденного начальником Управления Росгвардии по Ульяновской области от 9 октября 2024 года,</w:t>
      </w:r>
      <w:r>
        <w:rPr>
          <w:rFonts w:ascii="Times New Roman" w:hAnsi="Times New Roman"/>
          <w:spacing w:val="-4"/>
          <w:sz w:val="28"/>
        </w:rPr>
        <w:t xml:space="preserve"> комиссией </w:t>
      </w:r>
      <w:r>
        <w:rPr>
          <w:rFonts w:ascii="Times New Roman" w:hAnsi="Times New Roman"/>
          <w:sz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</w:rPr>
        <w:t>по Ульяновской области</w:t>
        <w:br/>
        <w:t xml:space="preserve">в период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bidi="ar-SA"/>
        </w:rPr>
        <w:t xml:space="preserve">с 3 по 20 </w:t>
      </w:r>
      <w:r>
        <w:rPr>
          <w:rStyle w:val="FootnoteCharacters"/>
          <w:rFonts w:eastAsia="Tahoma" w:cs="Noto Sans Devanagari" w:ascii="Times New Roman" w:hAnsi="Times New Roman"/>
          <w:color w:val="000000"/>
          <w:spacing w:val="0"/>
          <w:kern w:val="0"/>
          <w:position w:val="0"/>
          <w:sz w:val="28"/>
          <w:sz w:val="28"/>
          <w:szCs w:val="20"/>
          <w:u w:val="none"/>
          <w:shd w:fill="auto" w:val="clear"/>
          <w:vertAlign w:val="baseline"/>
          <w:lang w:val="ru-RU" w:eastAsia="zh-CN" w:bidi="hi-IN"/>
        </w:rPr>
        <w:t>февраля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bidi="ar-SA"/>
        </w:rPr>
        <w:t xml:space="preserve"> 2025 года проведена плановая выездная проверка</w:t>
        <w:br/>
      </w:r>
      <w:r>
        <w:rPr>
          <w:rStyle w:val="Style12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bidi="ar-SA"/>
        </w:rPr>
        <w:t xml:space="preserve">в отношении </w:t>
      </w:r>
      <w:r>
        <w:rPr>
          <w:rStyle w:val="Style12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>ф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едерального государственного унитарного предприятия «Главный центр специальной связи»</w:t>
      </w:r>
      <w:r>
        <w:rPr>
          <w:rStyle w:val="Style13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footnoteReference w:id="2"/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, а именно Управление специальной связи по Ульяновской области </w:t>
      </w:r>
      <w:r>
        <w:rPr>
          <w:rStyle w:val="FootnoteCharacters"/>
          <w:rFonts w:eastAsia="Tahoma" w:cs="Courier New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hi-IN"/>
        </w:rPr>
        <w:t>–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филиала ФГУП ГЦСС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Style17"/>
        <w:spacing w:lineRule="auto" w:line="240" w:before="0" w:after="0"/>
        <w:jc w:val="both"/>
        <w:rPr/>
      </w:pPr>
      <w:r>
        <w:rPr/>
        <w:tab/>
      </w:r>
      <w:r>
        <w:rPr>
          <w:rFonts w:cs="Times New Roman" w:ascii="Times New Roman" w:hAnsi="Times New Roman"/>
          <w:b w:val="false"/>
          <w:sz w:val="28"/>
          <w:szCs w:val="28"/>
        </w:rPr>
        <w:t>В ходе проведения проверки выявлено 5 нарушений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обязательных требований действующего законодательства РФ. </w:t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По результатам проверки составлен акт, выдано предписание</w:t>
        <w:br/>
        <w:t>на 3 месяца (до 16 мая 2025 года включительно).</w:t>
      </w:r>
    </w:p>
    <w:p>
      <w:pPr>
        <w:pStyle w:val="Style17"/>
        <w:spacing w:lineRule="auto" w:line="240" w:before="0" w:after="0"/>
        <w:jc w:val="both"/>
        <w:rPr>
          <w:rStyle w:val="FootnoteCharacters"/>
          <w:rFonts w:ascii="Times New Roman" w:hAnsi="Times New Roman" w:eastAsia="Tahoma" w:cs="Times New Roman"/>
          <w:b w:val="false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</w:pPr>
      <w:r>
        <w:rPr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В соответствии с пунктом 23 части 1 статьи 9 Федерального закона                  от 03 июля 2016 года № 226-ФЗ «О войсках национальной гвардии Российской Федерации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,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Планом проведения плановых проверок подразделений охраны юридических лиц с особыми уставными задачами</w:t>
        <w:br/>
        <w:t xml:space="preserve">и </w:t>
      </w:r>
      <w:r>
        <w:rPr>
          <w:rStyle w:val="FootnoteCharacters"/>
          <w:rFonts w:eastAsia="Tahoma" w:cs="Noto Sans Devanagari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0"/>
          <w:u w:val="none"/>
          <w:shd w:fill="auto" w:val="clear"/>
          <w:vertAlign w:val="baseline"/>
          <w:lang w:val="ru-RU" w:eastAsia="zh-CN" w:bidi="hi-IN"/>
        </w:rPr>
        <w:t xml:space="preserve">подразделений ведомственной охраны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2025 год, утвержденного начальником Управления Росгвардии по Ульяновской области от 9 октября 2024 года,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 комиссией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Управления Росгвардии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по Ульяновской области</w:t>
        <w:br/>
        <w:t xml:space="preserve">в период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>с 3 по 19 марта 2025 года проведена плановая выездная проверка</w:t>
        <w:br/>
      </w:r>
      <w:r>
        <w:rPr>
          <w:rStyle w:val="Style12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 xml:space="preserve">в отношении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федерального казенного учреждения «Государственное учреждение «Ведомственная охрана Министерства финансов Российской Федерации»</w:t>
      </w:r>
      <w:r>
        <w:rPr>
          <w:rStyle w:val="Style13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footnoteReference w:id="3"/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 xml:space="preserve">, а именно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филиала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ar-SA"/>
        </w:rPr>
        <w:t xml:space="preserve"> – 58 отряда  ФКУ «ГУ «ВО Минфина России».</w:t>
      </w:r>
    </w:p>
    <w:p>
      <w:pPr>
        <w:pStyle w:val="Style17"/>
        <w:spacing w:lineRule="auto" w:line="240" w:before="0" w:after="0"/>
        <w:jc w:val="both"/>
        <w:rPr/>
      </w:pPr>
      <w:r>
        <w:rPr/>
        <w:tab/>
      </w:r>
      <w:r>
        <w:rPr>
          <w:rFonts w:cs="Times New Roman" w:ascii="Times New Roman" w:hAnsi="Times New Roman"/>
          <w:b w:val="false"/>
          <w:sz w:val="28"/>
          <w:szCs w:val="28"/>
        </w:rPr>
        <w:t>В ходе проведения проверки выявлено 3 нарушения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обязательных требований действующего законодательства РФ. </w:t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По результатам проверки составлен акт проверки.</w:t>
      </w:r>
    </w:p>
    <w:p>
      <w:pPr>
        <w:pStyle w:val="Style17"/>
        <w:spacing w:lineRule="auto" w:line="240" w:before="0" w:after="0"/>
        <w:jc w:val="both"/>
        <w:rPr>
          <w:rStyle w:val="FootnoteCharacters"/>
          <w:rFonts w:ascii="Times New Roman" w:hAnsi="Times New Roman" w:eastAsia="Tahoma" w:cs="Times New Roman"/>
          <w:b w:val="false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</w:pPr>
      <w:r>
        <w:rPr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</w:r>
    </w:p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0"/>
        <w:jc w:val="both"/>
        <w:rPr/>
      </w:pPr>
      <w:r>
        <w:rPr>
          <w:rFonts w:ascii="Times New Roman" w:hAnsi="Times New Roman"/>
          <w:sz w:val="28"/>
        </w:rPr>
        <w:tab/>
        <w:t>В соответствии с пунктом 23 части 1 статьи 9 Федерального закона                  от 03 июля 2016 года № 226-ФЗ «О войсках национальной гвардии Российской Федерации</w:t>
      </w:r>
      <w:r>
        <w:rPr>
          <w:rFonts w:ascii="Times New Roman" w:hAnsi="Times New Roman"/>
          <w:spacing w:val="-4"/>
          <w:sz w:val="28"/>
        </w:rPr>
        <w:t xml:space="preserve">, </w:t>
      </w:r>
      <w:r>
        <w:rPr>
          <w:rFonts w:ascii="Times New Roman" w:hAnsi="Times New Roman"/>
          <w:sz w:val="28"/>
        </w:rPr>
        <w:t>Планом проведения плановых проверок подразделений охраны юридических лиц с особыми уставными задачами</w:t>
        <w:br/>
        <w:t xml:space="preserve">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 xml:space="preserve">подразделений ведомственной охраны </w:t>
      </w:r>
      <w:r>
        <w:rPr>
          <w:rFonts w:ascii="Times New Roman" w:hAnsi="Times New Roman"/>
          <w:sz w:val="28"/>
        </w:rPr>
        <w:t>2025 год, утвержденного начальником Управления Росгвардии по Ульяновской области от 9 октября 2024 года,</w:t>
      </w:r>
      <w:r>
        <w:rPr>
          <w:rFonts w:ascii="Times New Roman" w:hAnsi="Times New Roman"/>
          <w:spacing w:val="-4"/>
          <w:sz w:val="28"/>
        </w:rPr>
        <w:t xml:space="preserve"> комиссией </w:t>
      </w:r>
      <w:r>
        <w:rPr>
          <w:rFonts w:ascii="Times New Roman" w:hAnsi="Times New Roman"/>
          <w:sz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</w:rPr>
        <w:t>по Ульяновской области</w:t>
        <w:br/>
        <w:t xml:space="preserve">в период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vertAlign w:val="baseline"/>
          <w:lang w:val="ru-RU" w:bidi="ar-SA"/>
        </w:rPr>
        <w:t xml:space="preserve">с 1 по 16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сентября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vertAlign w:val="baseline"/>
          <w:lang w:val="ru-RU" w:bidi="ar-SA"/>
        </w:rPr>
        <w:t xml:space="preserve"> 2025 года проведена плановая выездная проверка</w:t>
        <w:br/>
      </w:r>
      <w:r>
        <w:rPr>
          <w:rStyle w:val="Style12"/>
          <w:rFonts w:eastAsia="Times New Roman" w:cs="Times New Roman" w:ascii="Times New Roman" w:hAnsi="Times New Roman"/>
          <w:color w:val="000000"/>
          <w:spacing w:val="0"/>
          <w:position w:val="0"/>
          <w:sz w:val="28"/>
          <w:sz w:val="28"/>
          <w:szCs w:val="28"/>
          <w:u w:val="none"/>
          <w:vertAlign w:val="baseline"/>
          <w:lang w:val="ru-RU" w:bidi="ar-SA"/>
        </w:rPr>
        <w:t xml:space="preserve">в отношении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Российского объединения инкассации (РОСИНКАС) Центрального банка Российской Федерации (Банка России)</w:t>
      </w:r>
      <w:r>
        <w:rPr>
          <w:rStyle w:val="Style13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ru-RU" w:bidi="ar-SA"/>
        </w:rPr>
        <w:footnoteReference w:id="4"/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, а именно регионального центра «Ульяновск» Поволжского главного регионального управления – филиала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-6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объединения «РОСИНКАС».</w:t>
      </w:r>
    </w:p>
    <w:p>
      <w:pPr>
        <w:pStyle w:val="Style17"/>
        <w:spacing w:lineRule="auto" w:line="240" w:before="0" w:after="0"/>
        <w:jc w:val="both"/>
        <w:rPr/>
      </w:pPr>
      <w:r>
        <w:rPr/>
        <w:tab/>
      </w:r>
      <w:r>
        <w:rPr>
          <w:rFonts w:cs="Times New Roman" w:ascii="Times New Roman" w:hAnsi="Times New Roman"/>
          <w:b w:val="false"/>
          <w:sz w:val="28"/>
          <w:szCs w:val="28"/>
        </w:rPr>
        <w:t>В ходе проведения проверки выявлено 4 нарушения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обязательных требований действующего законодательства РФ. </w:t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По результатам проверки составлен акт, выдано предписание</w:t>
        <w:br/>
        <w:t>на 3 месяца (до 12 декабря 2025 года включительно).</w:t>
      </w:r>
    </w:p>
    <w:p>
      <w:pPr>
        <w:pStyle w:val="Style17"/>
        <w:spacing w:lineRule="auto" w:line="240" w:before="0" w:after="0"/>
        <w:jc w:val="both"/>
        <w:rPr>
          <w:rStyle w:val="FootnoteCharacters"/>
          <w:rFonts w:ascii="Times New Roman" w:hAnsi="Times New Roman" w:eastAsia="Tahoma" w:cs="Times New Roman"/>
          <w:b w:val="false"/>
          <w:b w:val="false"/>
          <w:color w:val="000000"/>
          <w:spacing w:val="0"/>
          <w:kern w:val="0"/>
          <w:position w:val="0"/>
          <w:sz w:val="22"/>
          <w:sz w:val="28"/>
          <w:szCs w:val="28"/>
          <w:u w:val="none"/>
          <w:vertAlign w:val="baseline"/>
          <w:lang w:val="ru-RU" w:eastAsia="zh-CN" w:bidi="hi-IN"/>
        </w:rPr>
      </w:pPr>
      <w:r>
        <w:rPr/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В соответствии с пунктом 23 части 1 статьи 9 Федерального закона                  от 03 июля 2016 года № 226-ФЗ «О войсках национальной гвардии Российской Федерации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,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Планом проведения плановых проверок подразделений охраны юридических лиц с особыми уставными задачами</w:t>
        <w:br/>
        <w:t xml:space="preserve">и </w:t>
      </w:r>
      <w:r>
        <w:rPr>
          <w:rStyle w:val="FootnoteCharacters"/>
          <w:rFonts w:eastAsia="Tahoma" w:cs="Noto Sans Devanagari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0"/>
          <w:u w:val="none"/>
          <w:vertAlign w:val="baseline"/>
          <w:lang w:val="ru-RU" w:eastAsia="zh-CN" w:bidi="hi-IN"/>
        </w:rPr>
        <w:t xml:space="preserve">подразделений ведомственной охраны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2025 год, утвержденного начальником Управления Росгвардии по Ульяновской области от 9 октября 2024 года,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 комиссией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Управления Росгвардии </w:t>
      </w: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по Ульяновской области</w:t>
        <w:br/>
        <w:t xml:space="preserve">в период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с 1 по 23 </w:t>
      </w:r>
      <w:r>
        <w:rPr>
          <w:rStyle w:val="FootnoteCharacters"/>
          <w:rFonts w:eastAsia="Tahoma" w:cs="Noto Sans Devanagari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0"/>
          <w:u w:val="none"/>
          <w:vertAlign w:val="baseline"/>
          <w:lang w:val="ru-RU" w:eastAsia="zh-CN" w:bidi="hi-IN"/>
        </w:rPr>
        <w:t>октября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 2025 года проведена плановая выездная проверка</w:t>
        <w:br/>
      </w:r>
      <w:r>
        <w:rPr>
          <w:rStyle w:val="Style12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в отношении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федерального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sz w:val="28"/>
          <w:szCs w:val="28"/>
          <w:u w:val="none"/>
          <w:lang w:val="ru-RU" w:eastAsia="ru-RU" w:bidi="ar-SA"/>
        </w:rPr>
        <w:t xml:space="preserve">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государственного предприятия «Ведомственная охрана железнодорожного транспорта Российской Федерации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, а именно  </w:t>
      </w:r>
      <w:r>
        <w:rPr>
          <w:rStyle w:val="FootnoteCharacters"/>
          <w:rFonts w:eastAsia="Times New Roman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стрелковой команды станции Инза Пензенского отряда ВО структурного подразделения Волжского филиала ФГП ВО ЖДТ России, стрелковой команды станции Ульяновск – Центральный, стрелковой команды по охране искусственных сооружений станции Ульяновск – 2, пожарного поезда станции Ульяновск Самарского отряда ВО структурного  подразделения Волжского филиала ФГП ВО ЖДТ России.</w:t>
      </w:r>
    </w:p>
    <w:p>
      <w:pPr>
        <w:pStyle w:val="Style17"/>
        <w:spacing w:lineRule="auto" w:line="240" w:before="0" w:after="0"/>
        <w:jc w:val="both"/>
        <w:rPr/>
      </w:pPr>
      <w:r>
        <w:rPr/>
        <w:tab/>
      </w:r>
      <w:r>
        <w:rPr>
          <w:rFonts w:cs="Times New Roman" w:ascii="Times New Roman" w:hAnsi="Times New Roman"/>
          <w:b w:val="false"/>
          <w:sz w:val="28"/>
          <w:szCs w:val="28"/>
        </w:rPr>
        <w:t>В ходе проведения проверки выявлено 3 нарушения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обязательных требований действующего законодательства РФ. </w:t>
      </w:r>
    </w:p>
    <w:p>
      <w:pPr>
        <w:pStyle w:val="Style17"/>
        <w:spacing w:lineRule="auto" w:line="240" w:before="0" w:after="0"/>
        <w:jc w:val="both"/>
        <w:rPr/>
      </w:pPr>
      <w:r>
        <w:rPr>
          <w:rStyle w:val="FootnoteCharacters"/>
          <w:rFonts w:eastAsia="Tahoma" w:cs="Times New Roman" w:ascii="Times New Roman" w:hAnsi="Times New Roman"/>
          <w:b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ab/>
        <w:t>По результатам проверки составлен акт проверки.</w:t>
      </w:r>
    </w:p>
    <w:sectPr>
      <w:footnotePr>
        <w:numFmt w:val="decimal"/>
      </w:footnote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Segoe U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5"/>
        <w:spacing w:lineRule="exact" w:line="227" w:before="0" w:after="0"/>
        <w:ind w:left="0" w:right="0" w:hanging="0"/>
        <w:jc w:val="both"/>
        <w:rPr/>
      </w:pPr>
      <w:r>
        <w:rPr>
          <w:rStyle w:val="Style12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Далее </w:t>
      </w:r>
      <w:r>
        <w:rPr>
          <w:rFonts w:cs="Courier New" w:ascii="Times New Roman" w:hAnsi="Times New Roman"/>
        </w:rPr>
        <w:t>–</w:t>
      </w:r>
      <w:r>
        <w:rPr>
          <w:rFonts w:ascii="Times New Roman" w:hAnsi="Times New Roman"/>
        </w:rPr>
        <w:t xml:space="preserve"> «ФГУП ГЦСС».</w:t>
      </w:r>
    </w:p>
  </w:footnote>
  <w:footnote w:id="3">
    <w:p>
      <w:pPr>
        <w:pStyle w:val="Style25"/>
        <w:widowControl/>
        <w:suppressLineNumbers/>
        <w:suppressAutoHyphens w:val="true"/>
        <w:bidi w:val="0"/>
        <w:spacing w:lineRule="exact" w:line="227" w:before="0" w:after="0"/>
        <w:ind w:left="0" w:right="0" w:hanging="0"/>
        <w:jc w:val="both"/>
        <w:rPr>
          <w:rFonts w:ascii="Times New Roman" w:hAnsi="Times New Roman"/>
        </w:rPr>
      </w:pPr>
      <w:r>
        <w:rPr>
          <w:rStyle w:val="Style12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Далее </w:t>
      </w:r>
      <w:r>
        <w:rPr>
          <w:rFonts w:ascii="Times New Roman" w:hAnsi="Times New Roman"/>
          <w:spacing w:val="0"/>
          <w:sz w:val="20"/>
          <w:szCs w:val="20"/>
        </w:rPr>
        <w:t xml:space="preserve">– </w:t>
      </w:r>
      <w:r>
        <w:rPr>
          <w:rFonts w:ascii="Times New Roman" w:hAnsi="Times New Roman"/>
        </w:rPr>
        <w:t>«ФКУ «ГУ «ВО Минфина России».</w:t>
      </w:r>
    </w:p>
  </w:footnote>
  <w:footnote w:id="4">
    <w:p>
      <w:pPr>
        <w:pStyle w:val="Style25"/>
        <w:widowControl/>
        <w:suppressLineNumbers/>
        <w:suppressAutoHyphens w:val="true"/>
        <w:overflowPunct w:val="true"/>
        <w:bidi w:val="0"/>
        <w:spacing w:lineRule="exact" w:line="227" w:before="0" w:after="0"/>
        <w:ind w:left="0" w:right="0" w:hanging="0"/>
        <w:jc w:val="both"/>
        <w:rPr/>
      </w:pPr>
      <w:r>
        <w:rPr>
          <w:rStyle w:val="Style12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Далее </w:t>
      </w:r>
      <w:r>
        <w:rPr>
          <w:rFonts w:ascii="Times New Roman" w:hAnsi="Times New Roman"/>
          <w:spacing w:val="0"/>
          <w:sz w:val="20"/>
          <w:szCs w:val="20"/>
        </w:rPr>
        <w:t xml:space="preserve">– </w:t>
      </w:r>
      <w:r>
        <w:rPr>
          <w:rFonts w:ascii="Times New Roman" w:hAnsi="Times New Roman"/>
        </w:rPr>
        <w:t>«</w:t>
      </w:r>
      <w:r>
        <w:rPr>
          <w:rFonts w:eastAsia="Tahoma" w:cs="Noto Sans Devanagari" w:ascii="Times New Roman" w:hAnsi="Times New Roman"/>
          <w:color w:val="000000"/>
          <w:kern w:val="0"/>
          <w:sz w:val="20"/>
          <w:szCs w:val="20"/>
          <w:lang w:val="ru-RU" w:eastAsia="zh-CN" w:bidi="hi-IN"/>
        </w:rPr>
        <w:t>РОСИНКАС</w:t>
      </w:r>
      <w:r>
        <w:rPr>
          <w:rFonts w:ascii="Times New Roman" w:hAnsi="Times New Roman"/>
        </w:rPr>
        <w:t>».</w:t>
      </w:r>
    </w:p>
  </w:footnote>
</w:footnotes>
</file>

<file path=word/settings.xml><?xml version="1.0" encoding="utf-8"?>
<w:settings xmlns:w="http://schemas.openxmlformats.org/wordprocessingml/2006/main">
  <w:zoom w:percent="12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HAns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semiHidden="0" w:unhideWhenUsed="0"/>
    <w:lsdException w:name="toc 2" w:uiPriority="39" w:semiHidden="0" w:unhideWhenUsed="0"/>
    <w:lsdException w:name="toc 3" w:uiPriority="39" w:semiHidden="0" w:unhideWhenUsed="0"/>
    <w:lsdException w:name="toc 4" w:uiPriority="39" w:semiHidden="0" w:unhideWhenUsed="0"/>
    <w:lsdException w:name="toc 5" w:uiPriority="39" w:semiHidden="0" w:unhideWhenUsed="0"/>
    <w:lsdException w:name="toc 6" w:uiPriority="39" w:semiHidden="0" w:unhideWhenUsed="0"/>
    <w:lsdException w:name="toc 7" w:uiPriority="39" w:semiHidden="0" w:unhideWhenUsed="0"/>
    <w:lsdException w:name="toc 8" w:uiPriority="39" w:semiHidden="0" w:unhideWhenUsed="0"/>
    <w:lsdException w:name="toc 9" w:uiPriority="39" w:semiHidden="0" w:unhideWhenUsed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semiHidden="0" w:unhideWhenUsed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4" w:before="0" w:after="160"/>
      <w:jc w:val="left"/>
    </w:pPr>
    <w:rPr>
      <w:rFonts w:ascii="Calibri" w:hAnsi="Calibri" w:eastAsia="Tahoma" w:cs="Noto Sans Devanagari" w:asciiTheme="minorHAnsi" w:hAnsiTheme="minorHAnsi"/>
      <w:color w:val="00000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basedOn w:val="Normal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andard" w:customStyle="1">
    <w:name w:val="Standard"/>
    <w:qFormat/>
    <w:rPr>
      <w:rFonts w:ascii="Calibri" w:hAnsi="Calibri" w:asciiTheme="minorHAnsi" w:hAnsiTheme="minorHAnsi"/>
      <w:color w:val="000000"/>
      <w:sz w:val="22"/>
    </w:rPr>
  </w:style>
  <w:style w:type="character" w:styleId="Style9" w:customStyle="1">
    <w:name w:val="Текст выноски Знак"/>
    <w:basedOn w:val="DefaultParagraphFont"/>
    <w:qFormat/>
    <w:rPr>
      <w:rFonts w:ascii="Segoe UI" w:hAnsi="Segoe UI"/>
      <w:sz w:val="18"/>
    </w:rPr>
  </w:style>
  <w:style w:type="character" w:styleId="Contents2" w:customStyle="1">
    <w:name w:val="Contents 2"/>
    <w:qFormat/>
    <w:rPr/>
  </w:style>
  <w:style w:type="character" w:styleId="Contents4" w:customStyle="1">
    <w:name w:val="Contents 4"/>
    <w:qFormat/>
    <w:rPr/>
  </w:style>
  <w:style w:type="character" w:styleId="Contents6" w:customStyle="1">
    <w:name w:val="Contents 6"/>
    <w:qFormat/>
    <w:rPr/>
  </w:style>
  <w:style w:type="character" w:styleId="Contents7" w:customStyle="1">
    <w:name w:val="Contents 7"/>
    <w:qFormat/>
    <w:rPr/>
  </w:style>
  <w:style w:type="character" w:styleId="31" w:customStyle="1">
    <w:name w:val="Заголовок 31"/>
    <w:qFormat/>
    <w:rPr>
      <w:rFonts w:ascii="XO Thames" w:hAnsi="XO Thames"/>
      <w:b/>
      <w:i/>
      <w:color w:val="000000"/>
    </w:rPr>
  </w:style>
  <w:style w:type="character" w:styleId="11" w:customStyle="1">
    <w:name w:val="Текст выноски1"/>
    <w:basedOn w:val="Standard"/>
    <w:qFormat/>
    <w:rPr>
      <w:rFonts w:ascii="Segoe UI" w:hAnsi="Segoe UI"/>
      <w:color w:val="000000"/>
      <w:sz w:val="18"/>
    </w:rPr>
  </w:style>
  <w:style w:type="character" w:styleId="12" w:customStyle="1">
    <w:name w:val="Обычный (веб)1"/>
    <w:basedOn w:val="Standard"/>
    <w:qFormat/>
    <w:rPr>
      <w:rFonts w:ascii="Times New Roman" w:hAnsi="Times New Roman"/>
      <w:color w:val="000000"/>
      <w:sz w:val="24"/>
    </w:rPr>
  </w:style>
  <w:style w:type="character" w:styleId="13" w:customStyle="1">
    <w:name w:val="Список1"/>
    <w:basedOn w:val="Textbody"/>
    <w:qFormat/>
    <w:rPr>
      <w:rFonts w:ascii="PT Sans" w:hAnsi="PT Sans"/>
      <w:color w:val="000000"/>
      <w:sz w:val="22"/>
    </w:rPr>
  </w:style>
  <w:style w:type="character" w:styleId="Style10" w:customStyle="1">
    <w:name w:val="Заголовок"/>
    <w:basedOn w:val="Standard"/>
    <w:qFormat/>
    <w:rPr>
      <w:rFonts w:ascii="PT Sans" w:hAnsi="PT Sans"/>
      <w:color w:val="000000"/>
      <w:sz w:val="28"/>
    </w:rPr>
  </w:style>
  <w:style w:type="character" w:styleId="Contents3" w:customStyle="1">
    <w:name w:val="Contents 3"/>
    <w:qFormat/>
    <w:rPr/>
  </w:style>
  <w:style w:type="character" w:styleId="51" w:customStyle="1">
    <w:name w:val="Заголовок 51"/>
    <w:qFormat/>
    <w:rPr>
      <w:rFonts w:ascii="XO Thames" w:hAnsi="XO Thames"/>
      <w:b/>
      <w:color w:val="000000"/>
      <w:sz w:val="22"/>
    </w:rPr>
  </w:style>
  <w:style w:type="character" w:styleId="111" w:customStyle="1">
    <w:name w:val="Заголовок 11"/>
    <w:qFormat/>
    <w:rPr>
      <w:rFonts w:ascii="XO Thames" w:hAnsi="XO Thames"/>
      <w:b/>
      <w:sz w:val="32"/>
    </w:rPr>
  </w:style>
  <w:style w:type="character" w:styleId="Style11" w:customStyle="1">
    <w:name w:val="Интернет-ссылка"/>
    <w:rPr>
      <w:color w:val="0000FF"/>
      <w:u w:val="single"/>
    </w:rPr>
  </w:style>
  <w:style w:type="character" w:styleId="Footnote" w:customStyle="1">
    <w:name w:val="Footnote"/>
    <w:qFormat/>
    <w:rPr>
      <w:rFonts w:ascii="XO Thames" w:hAnsi="XO Thames"/>
      <w:sz w:val="22"/>
    </w:rPr>
  </w:style>
  <w:style w:type="character" w:styleId="Contents1" w:customStyle="1">
    <w:name w:val="Contents 1"/>
    <w:qFormat/>
    <w:rPr>
      <w:rFonts w:ascii="XO Thames" w:hAnsi="XO Thames"/>
      <w:b/>
    </w:rPr>
  </w:style>
  <w:style w:type="character" w:styleId="HeaderandFooter" w:customStyle="1">
    <w:name w:val="Header and Footer"/>
    <w:qFormat/>
    <w:rPr>
      <w:rFonts w:ascii="XO Thames" w:hAnsi="XO Thames"/>
      <w:sz w:val="20"/>
    </w:rPr>
  </w:style>
  <w:style w:type="character" w:styleId="Contents9" w:customStyle="1">
    <w:name w:val="Contents 9"/>
    <w:qFormat/>
    <w:rPr/>
  </w:style>
  <w:style w:type="character" w:styleId="Contents8" w:customStyle="1">
    <w:name w:val="Contents 8"/>
    <w:qFormat/>
    <w:rPr/>
  </w:style>
  <w:style w:type="character" w:styleId="14" w:customStyle="1">
    <w:name w:val="Название объекта1"/>
    <w:basedOn w:val="Standard"/>
    <w:qFormat/>
    <w:rPr>
      <w:rFonts w:ascii="PT Sans" w:hAnsi="PT Sans"/>
      <w:i/>
      <w:color w:val="000000"/>
      <w:sz w:val="24"/>
    </w:rPr>
  </w:style>
  <w:style w:type="character" w:styleId="Contents5" w:customStyle="1">
    <w:name w:val="Contents 5"/>
    <w:qFormat/>
    <w:rPr/>
  </w:style>
  <w:style w:type="character" w:styleId="15" w:customStyle="1">
    <w:name w:val="Подзаголовок1"/>
    <w:qFormat/>
    <w:rPr>
      <w:rFonts w:ascii="XO Thames" w:hAnsi="XO Thames"/>
      <w:i/>
      <w:color w:val="616161"/>
      <w:sz w:val="24"/>
    </w:rPr>
  </w:style>
  <w:style w:type="character" w:styleId="Textbody" w:customStyle="1">
    <w:name w:val="Text body"/>
    <w:basedOn w:val="Standard"/>
    <w:qFormat/>
    <w:rPr>
      <w:rFonts w:ascii="Calibri" w:hAnsi="Calibri" w:asciiTheme="minorHAnsi" w:hAnsiTheme="minorHAnsi"/>
      <w:color w:val="000000"/>
      <w:sz w:val="22"/>
    </w:rPr>
  </w:style>
  <w:style w:type="character" w:styleId="Toc10" w:customStyle="1">
    <w:name w:val="toc 10"/>
    <w:qFormat/>
    <w:rPr/>
  </w:style>
  <w:style w:type="character" w:styleId="16" w:customStyle="1">
    <w:name w:val="Указатель1"/>
    <w:basedOn w:val="Standard"/>
    <w:qFormat/>
    <w:rPr>
      <w:rFonts w:ascii="PT Sans" w:hAnsi="PT Sans"/>
      <w:color w:val="000000"/>
      <w:sz w:val="22"/>
    </w:rPr>
  </w:style>
  <w:style w:type="character" w:styleId="17" w:customStyle="1">
    <w:name w:val="Название1"/>
    <w:qFormat/>
    <w:rPr>
      <w:rFonts w:ascii="XO Thames" w:hAnsi="XO Thames"/>
      <w:b/>
      <w:sz w:val="52"/>
    </w:rPr>
  </w:style>
  <w:style w:type="character" w:styleId="41" w:customStyle="1">
    <w:name w:val="Заголовок 41"/>
    <w:qFormat/>
    <w:rPr>
      <w:rFonts w:ascii="XO Thames" w:hAnsi="XO Thames"/>
      <w:b/>
      <w:color w:val="595959"/>
      <w:sz w:val="26"/>
    </w:rPr>
  </w:style>
  <w:style w:type="character" w:styleId="21" w:customStyle="1">
    <w:name w:val="Заголовок 21"/>
    <w:qFormat/>
    <w:rPr>
      <w:rFonts w:ascii="XO Thames" w:hAnsi="XO Thames"/>
      <w:b/>
      <w:color w:val="00A0FF"/>
      <w:sz w:val="26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Style12">
    <w:name w:val="Символ сноски"/>
    <w:qFormat/>
    <w:rPr/>
  </w:style>
  <w:style w:type="character" w:styleId="Style13">
    <w:name w:val="Привязка сноски"/>
    <w:rPr>
      <w:vertAlign w:val="superscript"/>
    </w:rPr>
  </w:style>
  <w:style w:type="character" w:styleId="Style14">
    <w:name w:val="Привязка концевой сноски"/>
    <w:qFormat/>
    <w:rPr>
      <w:vertAlign w:val="superscript"/>
    </w:rPr>
  </w:style>
  <w:style w:type="character" w:styleId="Style15">
    <w:name w:val="Символ концевой сноски"/>
    <w:qFormat/>
    <w:rPr/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PT Sans" w:hAnsi="PT Sans"/>
      <w:sz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Sans" w:hAnsi="PT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pacing w:before="120" w:after="120"/>
    </w:pPr>
    <w:rPr>
      <w:rFonts w:ascii="PT Sans" w:hAnsi="PT Sans"/>
      <w:i/>
      <w:sz w:val="24"/>
    </w:rPr>
  </w:style>
  <w:style w:type="paragraph" w:styleId="Indexheading">
    <w:name w:val="index heading"/>
    <w:basedOn w:val="Normal"/>
    <w:qFormat/>
    <w:pPr/>
    <w:rPr>
      <w:rFonts w:ascii="PT Sans" w:hAnsi="PT Sans"/>
    </w:rPr>
  </w:style>
  <w:style w:type="paragraph" w:styleId="Style21" w:customStyle="1">
    <w:name w:val="Текст выноски Знак"/>
    <w:basedOn w:val="19"/>
    <w:qFormat/>
    <w:pPr/>
    <w:rPr>
      <w:rFonts w:ascii="Segoe UI" w:hAnsi="Segoe UI"/>
      <w:sz w:val="18"/>
    </w:rPr>
  </w:style>
  <w:style w:type="paragraph" w:styleId="22">
    <w:name w:val="TOC 2"/>
    <w:basedOn w:val="Normal"/>
    <w:uiPriority w:val="39"/>
    <w:pPr>
      <w:ind w:left="200" w:hanging="0"/>
    </w:pPr>
    <w:rPr/>
  </w:style>
  <w:style w:type="paragraph" w:styleId="42">
    <w:name w:val="TOC 4"/>
    <w:basedOn w:val="Normal"/>
    <w:uiPriority w:val="39"/>
    <w:pPr>
      <w:ind w:left="600" w:hanging="0"/>
    </w:pPr>
    <w:rPr/>
  </w:style>
  <w:style w:type="paragraph" w:styleId="6">
    <w:name w:val="TOC 6"/>
    <w:basedOn w:val="Normal"/>
    <w:uiPriority w:val="39"/>
    <w:pPr>
      <w:ind w:left="1000" w:hanging="0"/>
    </w:pPr>
    <w:rPr/>
  </w:style>
  <w:style w:type="paragraph" w:styleId="7">
    <w:name w:val="TOC 7"/>
    <w:basedOn w:val="Normal"/>
    <w:uiPriority w:val="39"/>
    <w:pPr>
      <w:ind w:left="1200" w:hanging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Segoe UI" w:hAnsi="Segoe UI"/>
      <w:sz w:val="18"/>
    </w:rPr>
  </w:style>
  <w:style w:type="paragraph" w:styleId="NormalWeb">
    <w:name w:val="Normal (Web)"/>
    <w:basedOn w:val="Normal"/>
    <w:qFormat/>
    <w:pPr>
      <w:spacing w:lineRule="auto" w:line="240" w:before="150" w:after="225"/>
    </w:pPr>
    <w:rPr>
      <w:rFonts w:ascii="Times New Roman" w:hAnsi="Times New Roman"/>
      <w:sz w:val="24"/>
    </w:rPr>
  </w:style>
  <w:style w:type="paragraph" w:styleId="32">
    <w:name w:val="TOC 3"/>
    <w:basedOn w:val="Normal"/>
    <w:uiPriority w:val="39"/>
    <w:pPr>
      <w:ind w:left="400" w:hanging="0"/>
    </w:pPr>
    <w:rPr/>
  </w:style>
  <w:style w:type="paragraph" w:styleId="Internetlink" w:customStyle="1">
    <w:name w:val="Hyperlink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FF"/>
      <w:kern w:val="0"/>
      <w:sz w:val="22"/>
      <w:szCs w:val="20"/>
      <w:u w:val="single"/>
      <w:lang w:val="ru-RU" w:eastAsia="zh-CN" w:bidi="hi-IN"/>
    </w:rPr>
  </w:style>
  <w:style w:type="paragraph" w:styleId="Footnote1" w:customStyle="1">
    <w:name w:val="Footnote"/>
    <w:qFormat/>
    <w:pPr>
      <w:widowControl/>
      <w:suppressAutoHyphens w:val="true"/>
      <w:bidi w:val="0"/>
      <w:spacing w:before="0" w:after="0"/>
      <w:jc w:val="left"/>
    </w:pPr>
    <w:rPr>
      <w:rFonts w:ascii="XO Thames" w:hAnsi="XO Thames" w:eastAsia="Tahoma" w:cs="Noto Sans Devanagari"/>
      <w:color w:val="000000"/>
      <w:kern w:val="0"/>
      <w:sz w:val="22"/>
      <w:szCs w:val="20"/>
      <w:lang w:val="ru-RU" w:eastAsia="zh-CN" w:bidi="hi-IN"/>
    </w:rPr>
  </w:style>
  <w:style w:type="paragraph" w:styleId="18">
    <w:name w:val="TOC 1"/>
    <w:basedOn w:val="Normal"/>
    <w:uiPriority w:val="39"/>
    <w:pPr/>
    <w:rPr>
      <w:rFonts w:ascii="XO Thames" w:hAnsi="XO Thames"/>
      <w:b/>
    </w:rPr>
  </w:style>
  <w:style w:type="paragraph" w:styleId="Style22" w:customStyle="1">
    <w:name w:val="Верхний и нижний колонтитулы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kern w:val="0"/>
      <w:sz w:val="22"/>
      <w:szCs w:val="20"/>
      <w:lang w:val="ru-RU" w:eastAsia="zh-CN" w:bidi="hi-IN"/>
    </w:rPr>
  </w:style>
  <w:style w:type="paragraph" w:styleId="19" w:customStyle="1">
    <w:name w:val="Основной шрифт абзаца1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HAnsi" w:hAnsiTheme="minorHAnsi"/>
      <w:color w:val="000000"/>
      <w:kern w:val="0"/>
      <w:sz w:val="22"/>
      <w:szCs w:val="20"/>
      <w:lang w:val="ru-RU" w:eastAsia="zh-CN" w:bidi="hi-IN"/>
    </w:rPr>
  </w:style>
  <w:style w:type="paragraph" w:styleId="9">
    <w:name w:val="TOC 9"/>
    <w:basedOn w:val="Normal"/>
    <w:uiPriority w:val="39"/>
    <w:pPr>
      <w:ind w:left="1600" w:hanging="0"/>
    </w:pPr>
    <w:rPr/>
  </w:style>
  <w:style w:type="paragraph" w:styleId="8">
    <w:name w:val="TOC 8"/>
    <w:basedOn w:val="Normal"/>
    <w:uiPriority w:val="39"/>
    <w:pPr>
      <w:ind w:left="1400" w:hanging="0"/>
    </w:pPr>
    <w:rPr/>
  </w:style>
  <w:style w:type="paragraph" w:styleId="52">
    <w:name w:val="TOC 5"/>
    <w:basedOn w:val="Normal"/>
    <w:uiPriority w:val="39"/>
    <w:pPr>
      <w:ind w:left="800" w:hanging="0"/>
    </w:pPr>
    <w:rPr/>
  </w:style>
  <w:style w:type="paragraph" w:styleId="Style23">
    <w:name w:val="Subtitle"/>
    <w:basedOn w:val="Normal"/>
    <w:uiPriority w:val="11"/>
    <w:qFormat/>
    <w:pPr/>
    <w:rPr>
      <w:rFonts w:ascii="XO Thames" w:hAnsi="XO Thames"/>
      <w:i/>
      <w:color w:val="616161"/>
      <w:sz w:val="24"/>
    </w:rPr>
  </w:style>
  <w:style w:type="paragraph" w:styleId="Toc101" w:customStyle="1">
    <w:name w:val="toc 10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Calibri" w:hAnsi="Calibri" w:eastAsia="Tahoma" w:cs="Noto Sans Devanagari" w:asciiTheme="minorHAnsi" w:hAnsiTheme="minorHAnsi"/>
      <w:color w:val="000000"/>
      <w:kern w:val="0"/>
      <w:sz w:val="22"/>
      <w:szCs w:val="20"/>
      <w:lang w:val="ru-RU" w:eastAsia="zh-CN" w:bidi="hi-IN"/>
    </w:rPr>
  </w:style>
  <w:style w:type="paragraph" w:styleId="Style24">
    <w:name w:val="Title"/>
    <w:basedOn w:val="Normal"/>
    <w:uiPriority w:val="10"/>
    <w:qFormat/>
    <w:pPr/>
    <w:rPr>
      <w:rFonts w:ascii="XO Thames" w:hAnsi="XO Thames"/>
      <w:b/>
      <w:sz w:val="52"/>
    </w:rPr>
  </w:style>
  <w:style w:type="paragraph" w:styleId="Style25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Style26">
    <w:name w:val="End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LibreOffice/6.4.7.2$Linux_X86_64 LibreOffice_project/40$Build-2</Application>
  <Pages>2</Pages>
  <Words>520</Words>
  <Characters>3496</Characters>
  <CharactersWithSpaces>4099</CharactersWithSpaces>
  <Paragraphs>15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2019-04-22T12:55:00Z</dcterms:created>
  <dc:creator/>
  <dc:description/>
  <dc:language>ru-RU</dc:language>
  <cp:lastModifiedBy/>
  <cp:lastPrinted>2021-02-19T09:03:14Z</cp:lastPrinted>
  <dcterms:modified xsi:type="dcterms:W3CDTF">2025-12-18T09:36:21Z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